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240" w:line="578" w:lineRule="auto"/>
        <w:jc w:val="left"/>
        <w:outlineLvl w:val="0"/>
        <w:rPr>
          <w:rFonts w:hint="eastAsia" w:eastAsia="黑体"/>
          <w:b/>
          <w:bCs/>
          <w:kern w:val="44"/>
          <w:sz w:val="42"/>
          <w:szCs w:val="42"/>
        </w:rPr>
      </w:pPr>
      <w:r>
        <w:rPr>
          <w:rFonts w:hint="eastAsia" w:eastAsia="黑体"/>
          <w:b/>
          <w:bCs/>
          <w:kern w:val="44"/>
          <w:sz w:val="42"/>
          <w:szCs w:val="42"/>
        </w:rPr>
        <w:t>XXX的微观组织和拉伸性能</w:t>
      </w:r>
      <w:r>
        <w:rPr>
          <w:rStyle w:val="7"/>
          <w:rFonts w:eastAsia="黑体"/>
          <w:b/>
          <w:bCs/>
          <w:kern w:val="44"/>
          <w:sz w:val="42"/>
          <w:szCs w:val="42"/>
        </w:rPr>
        <w:footnoteReference w:id="0"/>
      </w:r>
      <w:r>
        <w:rPr>
          <w:rStyle w:val="7"/>
          <w:rFonts w:eastAsia="黑体"/>
          <w:b/>
          <w:bCs/>
          <w:kern w:val="44"/>
          <w:sz w:val="42"/>
          <w:szCs w:val="42"/>
        </w:rPr>
        <w:sym w:font="Symbol" w:char="F020"/>
      </w:r>
    </w:p>
    <w:p>
      <w:pPr>
        <w:spacing w:after="60" w:line="312" w:lineRule="auto"/>
        <w:jc w:val="left"/>
        <w:outlineLvl w:val="1"/>
        <w:rPr>
          <w:rFonts w:hint="eastAsia" w:eastAsia="楷体_GB2312"/>
          <w:bCs/>
          <w:kern w:val="28"/>
          <w:sz w:val="28"/>
          <w:szCs w:val="28"/>
          <w:vertAlign w:val="superscript"/>
        </w:rPr>
      </w:pPr>
      <w:r>
        <w:rPr>
          <w:rFonts w:hint="eastAsia" w:eastAsia="楷体_GB2312"/>
          <w:bCs/>
          <w:kern w:val="28"/>
          <w:sz w:val="28"/>
          <w:szCs w:val="28"/>
        </w:rPr>
        <w:t>李 然</w:t>
      </w:r>
      <w:r>
        <w:rPr>
          <w:rFonts w:hint="eastAsia" w:eastAsia="楷体_GB2312"/>
          <w:bCs/>
          <w:kern w:val="28"/>
          <w:sz w:val="28"/>
          <w:szCs w:val="28"/>
          <w:vertAlign w:val="superscript"/>
        </w:rPr>
        <w:t>1,2)</w:t>
      </w:r>
      <w:r>
        <w:rPr>
          <w:rFonts w:hint="eastAsia" w:eastAsia="楷体_GB2312"/>
          <w:bCs/>
          <w:kern w:val="28"/>
          <w:sz w:val="28"/>
          <w:szCs w:val="28"/>
        </w:rPr>
        <w:t xml:space="preserve">     王小明</w:t>
      </w:r>
      <w:r>
        <w:rPr>
          <w:rFonts w:hint="eastAsia" w:eastAsia="楷体_GB2312"/>
          <w:bCs/>
          <w:kern w:val="28"/>
          <w:sz w:val="28"/>
          <w:szCs w:val="28"/>
          <w:vertAlign w:val="superscript"/>
        </w:rPr>
        <w:t>2)</w:t>
      </w:r>
      <w:r>
        <w:rPr>
          <w:rFonts w:hint="eastAsia" w:eastAsia="楷体_GB2312"/>
          <w:bCs/>
          <w:kern w:val="28"/>
          <w:sz w:val="28"/>
          <w:szCs w:val="28"/>
          <w:vertAlign w:val="superscript"/>
        </w:rPr>
        <w:sym w:font="Symbol" w:char="F02A"/>
      </w:r>
    </w:p>
    <w:p>
      <w:pPr>
        <w:rPr>
          <w:rFonts w:hint="eastAsia"/>
          <w:sz w:val="15"/>
          <w:szCs w:val="15"/>
        </w:rPr>
      </w:pPr>
      <w:r>
        <w:rPr>
          <w:rFonts w:hint="eastAsia"/>
          <w:sz w:val="15"/>
          <w:szCs w:val="15"/>
        </w:rPr>
        <w:t>1) 北京科技大学</w:t>
      </w:r>
      <w:r>
        <w:rPr>
          <w:sz w:val="15"/>
          <w:szCs w:val="15"/>
        </w:rPr>
        <w:t>……</w:t>
      </w:r>
      <w:r>
        <w:rPr>
          <w:rFonts w:hint="eastAsia"/>
          <w:sz w:val="15"/>
          <w:szCs w:val="15"/>
        </w:rPr>
        <w:t>学院, 北京 100083   2) 北京</w:t>
      </w:r>
      <w:r>
        <w:rPr>
          <w:sz w:val="15"/>
          <w:szCs w:val="15"/>
        </w:rPr>
        <w:t>…</w:t>
      </w:r>
      <w:r>
        <w:rPr>
          <w:rFonts w:hint="eastAsia"/>
          <w:sz w:val="15"/>
          <w:szCs w:val="15"/>
        </w:rPr>
        <w:t>.有限公司, 北京 1000XX</w:t>
      </w:r>
    </w:p>
    <w:p>
      <w:pPr>
        <w:rPr>
          <w:sz w:val="15"/>
          <w:szCs w:val="15"/>
        </w:rPr>
      </w:pPr>
      <w:r>
        <w:rPr>
          <w:rFonts w:hint="eastAsia"/>
          <w:sz w:val="15"/>
          <w:szCs w:val="15"/>
          <w:vertAlign w:val="superscript"/>
        </w:rPr>
        <w:sym w:font="Symbol" w:char="F02A"/>
      </w:r>
      <w:r>
        <w:rPr>
          <w:rFonts w:hint="eastAsia"/>
          <w:sz w:val="15"/>
          <w:szCs w:val="15"/>
        </w:rPr>
        <w:t>通讯作者, E-mail:</w:t>
      </w:r>
    </w:p>
    <w:p>
      <w:pPr>
        <w:spacing w:before="312" w:beforeLines="100"/>
        <w:rPr>
          <w:sz w:val="18"/>
          <w:szCs w:val="18"/>
        </w:rPr>
      </w:pPr>
      <w:r>
        <w:rPr>
          <w:rFonts w:hint="eastAsia" w:eastAsia="黑体"/>
          <w:sz w:val="18"/>
          <w:szCs w:val="18"/>
        </w:rPr>
        <w:t>摘  要</w:t>
      </w:r>
      <w:r>
        <w:rPr>
          <w:rFonts w:hint="eastAsia"/>
          <w:sz w:val="18"/>
          <w:szCs w:val="18"/>
        </w:rPr>
        <w:t xml:space="preserve">  摘要内容用小五号宋体, 段前空1行. 全文的外文字体都采用Times New Roman, 200～300字．输入摘要输入摘要输入摘要．</w:t>
      </w:r>
    </w:p>
    <w:p>
      <w:pPr>
        <w:rPr>
          <w:rFonts w:hint="eastAsia"/>
          <w:sz w:val="18"/>
          <w:szCs w:val="18"/>
        </w:rPr>
      </w:pPr>
      <w:r>
        <w:rPr>
          <w:rFonts w:hint="eastAsia" w:eastAsia="黑体"/>
          <w:sz w:val="18"/>
          <w:szCs w:val="18"/>
        </w:rPr>
        <w:t xml:space="preserve">关键词  </w:t>
      </w:r>
      <w:r>
        <w:rPr>
          <w:rFonts w:hint="eastAsia"/>
          <w:sz w:val="18"/>
          <w:szCs w:val="18"/>
        </w:rPr>
        <w:t>关键词一; 关键词二; 关键词三; 关键词四; 关键词五</w:t>
      </w:r>
    </w:p>
    <w:p>
      <w:pPr>
        <w:rPr>
          <w:rFonts w:hint="eastAsia"/>
          <w:sz w:val="18"/>
          <w:szCs w:val="18"/>
        </w:rPr>
      </w:pPr>
      <w:r>
        <w:rPr>
          <w:rFonts w:hint="eastAsia" w:eastAsia="黑体"/>
          <w:sz w:val="18"/>
          <w:szCs w:val="18"/>
        </w:rPr>
        <w:t>分类号</w:t>
      </w:r>
      <w:r>
        <w:rPr>
          <w:rFonts w:hint="eastAsia"/>
          <w:sz w:val="18"/>
          <w:szCs w:val="18"/>
        </w:rPr>
        <w:t xml:space="preserve">  TD 123</w:t>
      </w:r>
    </w:p>
    <w:p>
      <w:pPr>
        <w:rPr>
          <w:rFonts w:hint="eastAsia"/>
        </w:rPr>
      </w:pPr>
    </w:p>
    <w:p>
      <w:pPr>
        <w:rPr>
          <w:rFonts w:hint="eastAsia"/>
          <w:b/>
          <w:sz w:val="30"/>
          <w:szCs w:val="30"/>
        </w:rPr>
      </w:pPr>
      <w:r>
        <w:rPr>
          <w:b/>
          <w:sz w:val="30"/>
          <w:szCs w:val="30"/>
        </w:rPr>
        <w:t>Microstructure and tensile properties of ……</w:t>
      </w:r>
    </w:p>
    <w:p>
      <w:pPr>
        <w:rPr>
          <w:rFonts w:hint="eastAsia"/>
        </w:rPr>
      </w:pPr>
    </w:p>
    <w:p>
      <w:pPr>
        <w:pStyle w:val="9"/>
        <w:rPr>
          <w:rFonts w:hint="eastAsia"/>
          <w:szCs w:val="21"/>
          <w:vertAlign w:val="superscript"/>
        </w:rPr>
      </w:pPr>
      <w:r>
        <w:rPr>
          <w:rFonts w:hint="eastAsia"/>
          <w:i/>
          <w:szCs w:val="21"/>
        </w:rPr>
        <w:t>LI</w:t>
      </w:r>
      <w:r>
        <w:rPr>
          <w:rFonts w:hint="eastAsia"/>
          <w:szCs w:val="21"/>
        </w:rPr>
        <w:t xml:space="preserve"> </w:t>
      </w:r>
      <w:r>
        <w:rPr>
          <w:rFonts w:hint="eastAsia"/>
          <w:i/>
          <w:szCs w:val="21"/>
        </w:rPr>
        <w:t>Ran</w:t>
      </w:r>
      <w:r>
        <w:rPr>
          <w:rFonts w:hint="eastAsia"/>
          <w:szCs w:val="21"/>
          <w:vertAlign w:val="superscript"/>
        </w:rPr>
        <w:t>1,2)</w:t>
      </w:r>
      <w:r>
        <w:rPr>
          <w:rFonts w:hint="eastAsia"/>
          <w:szCs w:val="21"/>
        </w:rPr>
        <w:t xml:space="preserve">, </w:t>
      </w:r>
      <w:r>
        <w:rPr>
          <w:rFonts w:hint="eastAsia"/>
          <w:i/>
          <w:szCs w:val="21"/>
        </w:rPr>
        <w:t>WANG Xiao-ming</w:t>
      </w:r>
      <w:r>
        <w:rPr>
          <w:rFonts w:hint="eastAsia"/>
          <w:szCs w:val="21"/>
          <w:vertAlign w:val="superscript"/>
        </w:rPr>
        <w:t>2)</w:t>
      </w:r>
      <w:r>
        <w:rPr>
          <w:rFonts w:hint="eastAsia"/>
          <w:szCs w:val="21"/>
          <w:vertAlign w:val="superscript"/>
        </w:rPr>
        <w:sym w:font="Symbol" w:char="F02A"/>
      </w:r>
    </w:p>
    <w:p>
      <w:pPr>
        <w:pStyle w:val="10"/>
        <w:numPr>
          <w:ilvl w:val="0"/>
          <w:numId w:val="1"/>
        </w:numPr>
        <w:ind w:left="0" w:firstLine="0"/>
        <w:rPr>
          <w:rFonts w:hint="eastAsia"/>
          <w:sz w:val="15"/>
          <w:szCs w:val="15"/>
        </w:rPr>
      </w:pPr>
      <w:r>
        <w:rPr>
          <w:rFonts w:hint="eastAsia"/>
          <w:sz w:val="15"/>
          <w:szCs w:val="15"/>
        </w:rPr>
        <w:t xml:space="preserve">School of </w:t>
      </w:r>
      <w:r>
        <w:rPr>
          <w:sz w:val="15"/>
          <w:szCs w:val="15"/>
        </w:rPr>
        <w:t>……</w:t>
      </w:r>
      <w:r>
        <w:rPr>
          <w:rFonts w:hint="eastAsia"/>
          <w:sz w:val="15"/>
          <w:szCs w:val="15"/>
        </w:rPr>
        <w:t>, University of Science and Technology Beijing, Beijing 100083, China</w:t>
      </w:r>
    </w:p>
    <w:p>
      <w:pPr>
        <w:pStyle w:val="10"/>
        <w:numPr>
          <w:ilvl w:val="0"/>
          <w:numId w:val="1"/>
        </w:numPr>
        <w:ind w:left="0" w:firstLine="0"/>
        <w:rPr>
          <w:rFonts w:hint="eastAsia"/>
          <w:sz w:val="15"/>
          <w:szCs w:val="15"/>
        </w:rPr>
      </w:pPr>
      <w:r>
        <w:rPr>
          <w:rFonts w:hint="eastAsia"/>
          <w:sz w:val="15"/>
          <w:szCs w:val="15"/>
        </w:rPr>
        <w:t xml:space="preserve">Beijing </w:t>
      </w:r>
      <w:r>
        <w:rPr>
          <w:sz w:val="15"/>
          <w:szCs w:val="15"/>
        </w:rPr>
        <w:t>……</w:t>
      </w:r>
      <w:r>
        <w:rPr>
          <w:rFonts w:hint="eastAsia"/>
          <w:sz w:val="15"/>
          <w:szCs w:val="15"/>
        </w:rPr>
        <w:t xml:space="preserve"> Co. Ltd., Beijing 1000XX, China</w:t>
      </w:r>
    </w:p>
    <w:p>
      <w:pPr>
        <w:pStyle w:val="10"/>
        <w:rPr>
          <w:rFonts w:hint="eastAsia"/>
          <w:sz w:val="16"/>
          <w:szCs w:val="16"/>
        </w:rPr>
      </w:pPr>
      <w:r>
        <w:rPr>
          <w:rFonts w:hint="eastAsia"/>
          <w:sz w:val="16"/>
          <w:szCs w:val="16"/>
          <w:vertAlign w:val="superscript"/>
        </w:rPr>
        <w:sym w:font="Symbol" w:char="F02A"/>
      </w:r>
      <w:r>
        <w:rPr>
          <w:rFonts w:hint="eastAsia"/>
          <w:sz w:val="16"/>
          <w:szCs w:val="16"/>
        </w:rPr>
        <w:t>Corresponding author, E-mail:</w:t>
      </w:r>
    </w:p>
    <w:p>
      <w:pPr>
        <w:pStyle w:val="11"/>
        <w:spacing w:before="312" w:beforeLines="100"/>
        <w:rPr>
          <w:rFonts w:hint="eastAsia"/>
          <w:sz w:val="18"/>
          <w:szCs w:val="18"/>
        </w:rPr>
      </w:pPr>
      <w:r>
        <w:rPr>
          <w:rFonts w:hint="eastAsia"/>
          <w:b/>
          <w:sz w:val="18"/>
          <w:szCs w:val="18"/>
        </w:rPr>
        <w:t>ABSTRACT</w:t>
      </w:r>
      <w:r>
        <w:rPr>
          <w:rFonts w:hint="eastAsia"/>
          <w:sz w:val="18"/>
          <w:szCs w:val="18"/>
        </w:rPr>
        <w:t xml:space="preserve">   Abstract Abstract Abstract Abstract Abstract Abstract Abstract Abstract Abstract Abstract Abstract Abstract Abstract. Abstract Abstract Abstract Abstract Abstract.</w:t>
      </w:r>
    </w:p>
    <w:p>
      <w:pPr>
        <w:pStyle w:val="11"/>
        <w:spacing w:after="468" w:afterLines="150"/>
        <w:rPr>
          <w:rFonts w:hint="eastAsia"/>
          <w:sz w:val="18"/>
          <w:szCs w:val="18"/>
        </w:rPr>
      </w:pPr>
      <w:r>
        <w:rPr>
          <w:rFonts w:hint="eastAsia"/>
          <w:b/>
          <w:sz w:val="18"/>
          <w:szCs w:val="18"/>
        </w:rPr>
        <w:t>KEY WORDS</w:t>
      </w:r>
      <w:r>
        <w:rPr>
          <w:rFonts w:hint="eastAsia"/>
          <w:sz w:val="18"/>
          <w:szCs w:val="18"/>
        </w:rPr>
        <w:t xml:space="preserve">  words 1; words 2; words 3 ; words 3; words 4</w:t>
      </w:r>
    </w:p>
    <w:p>
      <w:pPr>
        <w:ind w:firstLine="420" w:firstLineChars="200"/>
      </w:pPr>
      <w:r>
        <w:rPr>
          <w:rFonts w:hint="eastAsia"/>
        </w:rPr>
        <w:t>绪论部分绪论部分绪论部分绪论部分绪论部分绪论部分绪论部分绪论部分绪论部分绪论部分绪论部分绪论部分.</w:t>
      </w:r>
    </w:p>
    <w:p>
      <w:pPr>
        <w:ind w:firstLine="420" w:firstLineChars="200"/>
      </w:pPr>
      <w:r>
        <w:rPr>
          <w:rFonts w:hint="eastAsia"/>
        </w:rPr>
        <w:t>绪论部分绪论部分绪论部分绪论部分绪论部分绪论部分绪论部分绪论部分绪论部分绪论部分绪论部分绪论部分.</w:t>
      </w:r>
    </w:p>
    <w:p>
      <w:pPr>
        <w:pStyle w:val="12"/>
        <w:spacing w:before="156" w:beforeLines="50" w:after="156" w:afterLines="50"/>
        <w:rPr>
          <w:rFonts w:hint="eastAsia" w:eastAsia="黑体"/>
          <w:b/>
          <w:sz w:val="24"/>
        </w:rPr>
      </w:pPr>
      <w:r>
        <w:rPr>
          <w:rFonts w:hint="eastAsia" w:eastAsia="黑体"/>
          <w:b/>
          <w:sz w:val="24"/>
        </w:rPr>
        <w:t>1 一级标题</w:t>
      </w:r>
    </w:p>
    <w:p>
      <w:pPr>
        <w:ind w:firstLine="420" w:firstLineChars="200"/>
        <w:rPr>
          <w:rFonts w:hint="eastAsia"/>
        </w:rPr>
      </w:pPr>
      <w:r>
        <w:rPr>
          <w:rFonts w:hint="eastAsia"/>
        </w:rPr>
        <w:t>此处输入正文此处输入正文此处输入正文此处输入正文此处输入正文此处输入正文此处输入正文此处输入正文.</w:t>
      </w:r>
    </w:p>
    <w:p>
      <w:pPr>
        <w:ind w:firstLine="420" w:firstLineChars="200"/>
        <w:rPr>
          <w:rFonts w:hint="eastAsia"/>
        </w:rPr>
      </w:pPr>
      <w:r>
        <w:t>……</w:t>
      </w:r>
    </w:p>
    <w:p>
      <w:pPr>
        <w:ind w:firstLine="420" w:firstLineChars="200"/>
      </w:pPr>
      <w:r>
        <w:rPr>
          <w:rFonts w:hint="eastAsia"/>
        </w:rPr>
        <w:t>此处输入正文此处输入正文此处输入正文此处输入正文此处输入正文此处输入正文此处输入正文此处输入正文.</w:t>
      </w:r>
    </w:p>
    <w:p>
      <w:pPr>
        <w:pStyle w:val="13"/>
        <w:numPr>
          <w:ilvl w:val="1"/>
          <w:numId w:val="2"/>
        </w:numPr>
        <w:rPr>
          <w:rFonts w:hint="eastAsia" w:eastAsia="黑体"/>
          <w:b/>
        </w:rPr>
      </w:pPr>
      <w:r>
        <w:rPr>
          <w:rFonts w:hint="eastAsia" w:eastAsia="黑体"/>
          <w:b/>
        </w:rPr>
        <w:t>二级标题</w:t>
      </w:r>
    </w:p>
    <w:p>
      <w:pPr>
        <w:ind w:firstLine="420" w:firstLineChars="200"/>
        <w:rPr>
          <w:rFonts w:hint="eastAsia" w:eastAsia="黑体"/>
          <w:b/>
        </w:rPr>
      </w:pPr>
      <w:r>
        <w:rPr>
          <w:rFonts w:hint="eastAsia"/>
        </w:rPr>
        <w:t>此处输入正文此处输入正文此处输入正文此处输入正文此处输入正文此处输入正文此处输入正文此处输入正文.</w:t>
      </w:r>
    </w:p>
    <w:p>
      <w:pPr>
        <w:pStyle w:val="14"/>
        <w:numPr>
          <w:ilvl w:val="2"/>
          <w:numId w:val="2"/>
        </w:numPr>
        <w:rPr>
          <w:rFonts w:hint="eastAsia"/>
        </w:rPr>
      </w:pPr>
      <w:r>
        <w:rPr>
          <w:rFonts w:hint="eastAsia"/>
        </w:rPr>
        <w:t>三级标题</w:t>
      </w:r>
    </w:p>
    <w:p>
      <w:pPr>
        <w:ind w:firstLine="420" w:firstLineChars="200"/>
      </w:pPr>
      <w:r>
        <w:rPr>
          <w:rFonts w:hint="eastAsia"/>
        </w:rPr>
        <w:t>此处输入正文此处输入正文此处输入正文此处输入正文此处输入正文此处输入正文此处输入正文此处输入正文.</w:t>
      </w:r>
    </w:p>
    <w:p>
      <w:pPr>
        <w:pStyle w:val="15"/>
        <w:numPr>
          <w:ilvl w:val="0"/>
          <w:numId w:val="3"/>
        </w:numPr>
        <w:ind w:firstLineChars="0"/>
        <w:rPr>
          <w:rFonts w:hint="eastAsia"/>
        </w:rPr>
      </w:pPr>
      <w:r>
        <w:rPr>
          <w:rFonts w:hint="eastAsia"/>
        </w:rPr>
        <w:t>曲线图要求纵坐标和横坐标的标目为：量/单位, 如：速率/(m</w:t>
      </w:r>
      <w:r>
        <w:t>∙</w:t>
      </w:r>
      <w:r>
        <w:rPr>
          <w:rFonts w:hint="eastAsia"/>
        </w:rPr>
        <w:t>s</w:t>
      </w:r>
      <w:r>
        <w:rPr>
          <w:rFonts w:hint="eastAsia"/>
          <w:vertAlign w:val="superscript"/>
        </w:rPr>
        <w:t>-1</w:t>
      </w:r>
      <w:r>
        <w:rPr>
          <w:rFonts w:hint="eastAsia"/>
        </w:rPr>
        <w:t>)．图例用中文．</w:t>
      </w:r>
    </w:p>
    <w:p>
      <w:pPr>
        <w:pStyle w:val="16"/>
        <w:keepNext/>
      </w:pPr>
      <w:r>
        <w:rPr>
          <w:sz w:val="24"/>
        </w:rPr>
        <w:drawing>
          <wp:inline distT="0" distB="0" distL="114300" distR="114300">
            <wp:extent cx="3048000" cy="2057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grayscl/>
                    </a:blip>
                    <a:stretch>
                      <a:fillRect/>
                    </a:stretch>
                  </pic:blipFill>
                  <pic:spPr>
                    <a:xfrm>
                      <a:off x="0" y="0"/>
                      <a:ext cx="3048000" cy="2057400"/>
                    </a:xfrm>
                    <a:prstGeom prst="rect">
                      <a:avLst/>
                    </a:prstGeom>
                    <a:noFill/>
                    <a:ln w="9525">
                      <a:noFill/>
                    </a:ln>
                  </pic:spPr>
                </pic:pic>
              </a:graphicData>
            </a:graphic>
          </wp:inline>
        </w:drawing>
      </w:r>
    </w:p>
    <w:p>
      <w:pPr>
        <w:pStyle w:val="16"/>
        <w:rPr>
          <w:rFonts w:hint="eastAsia"/>
        </w:rPr>
      </w:pPr>
      <w:r>
        <w:rPr>
          <w:rFonts w:hint="eastAsia" w:ascii="黑体" w:eastAsia="黑体"/>
          <w:b/>
        </w:rPr>
        <w:t>图</w:t>
      </w:r>
      <w:r>
        <w:rPr>
          <w:rFonts w:hint="eastAsia"/>
          <w:b/>
        </w:rPr>
        <w:t>1</w:t>
      </w:r>
      <w:r>
        <w:rPr>
          <w:rFonts w:hint="eastAsia"/>
        </w:rPr>
        <w:t xml:space="preserve">  X射线衍射图</w:t>
      </w:r>
    </w:p>
    <w:p>
      <w:pPr>
        <w:pStyle w:val="16"/>
      </w:pPr>
      <w:r>
        <w:rPr>
          <w:b/>
        </w:rPr>
        <w:t>Fig.1</w:t>
      </w:r>
      <w:r>
        <w:t xml:space="preserve"> </w:t>
      </w:r>
      <w:r>
        <w:rPr>
          <w:rFonts w:hint="eastAsia"/>
        </w:rPr>
        <w:t xml:space="preserve"> </w:t>
      </w:r>
      <w:r>
        <w:t>X-ray diffraction patterns</w:t>
      </w:r>
    </w:p>
    <w:p>
      <w:pPr>
        <w:pStyle w:val="15"/>
        <w:numPr>
          <w:ilvl w:val="0"/>
          <w:numId w:val="3"/>
        </w:numPr>
        <w:ind w:firstLineChars="0"/>
        <w:rPr>
          <w:rFonts w:hint="eastAsia"/>
        </w:rPr>
      </w:pPr>
      <w:r>
        <w:rPr>
          <w:rFonts w:hint="eastAsia"/>
        </w:rPr>
        <w:t>表格采用三线表．</w:t>
      </w:r>
    </w:p>
    <w:p>
      <w:pPr>
        <w:pStyle w:val="16"/>
        <w:rPr>
          <w:rFonts w:hint="eastAsia"/>
        </w:rPr>
      </w:pPr>
      <w:r>
        <w:rPr>
          <w:rFonts w:hint="eastAsia" w:ascii="黑体" w:eastAsia="黑体"/>
          <w:b/>
        </w:rPr>
        <w:t>表</w:t>
      </w:r>
      <w:r>
        <w:rPr>
          <w:rFonts w:hint="eastAsia"/>
          <w:b/>
        </w:rPr>
        <w:t>1</w:t>
      </w:r>
      <w:r>
        <w:rPr>
          <w:rFonts w:hint="eastAsia"/>
        </w:rPr>
        <w:t xml:space="preserve">  表题</w:t>
      </w:r>
    </w:p>
    <w:p>
      <w:pPr>
        <w:pStyle w:val="16"/>
        <w:rPr>
          <w:rFonts w:hint="eastAsia"/>
          <w:b/>
        </w:rPr>
      </w:pPr>
      <w:r>
        <w:rPr>
          <w:rFonts w:hint="eastAsia"/>
          <w:b/>
        </w:rPr>
        <w:t xml:space="preserve">Table 1  </w:t>
      </w:r>
      <w:r>
        <w:rPr>
          <w:rFonts w:hint="eastAsia"/>
        </w:rPr>
        <w:t>Title</w:t>
      </w:r>
    </w:p>
    <w:tbl>
      <w:tblPr>
        <w:tblStyle w:val="8"/>
        <w:tblW w:w="8522"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04" w:type="dxa"/>
            <w:tcBorders>
              <w:top w:val="single" w:color="auto" w:sz="12" w:space="0"/>
              <w:bottom w:val="single" w:color="auto" w:sz="4" w:space="0"/>
            </w:tcBorders>
            <w:shd w:val="clear" w:color="auto" w:fill="auto"/>
          </w:tcPr>
          <w:p>
            <w:pPr>
              <w:ind w:firstLine="420"/>
              <w:rPr>
                <w:rFonts w:hint="eastAsia"/>
                <w:sz w:val="18"/>
                <w:szCs w:val="18"/>
              </w:rPr>
            </w:pPr>
            <w:r>
              <w:rPr>
                <w:rFonts w:hint="eastAsia"/>
                <w:sz w:val="18"/>
                <w:szCs w:val="18"/>
              </w:rPr>
              <w:t>表头</w:t>
            </w:r>
          </w:p>
        </w:tc>
        <w:tc>
          <w:tcPr>
            <w:tcW w:w="1704" w:type="dxa"/>
            <w:tcBorders>
              <w:top w:val="single" w:color="auto" w:sz="12" w:space="0"/>
              <w:bottom w:val="single" w:color="auto" w:sz="4" w:space="0"/>
            </w:tcBorders>
            <w:shd w:val="clear" w:color="auto" w:fill="auto"/>
          </w:tcPr>
          <w:p>
            <w:pPr>
              <w:ind w:firstLine="420"/>
              <w:rPr>
                <w:u w:val="single"/>
              </w:rPr>
            </w:pPr>
          </w:p>
        </w:tc>
        <w:tc>
          <w:tcPr>
            <w:tcW w:w="1704" w:type="dxa"/>
            <w:tcBorders>
              <w:top w:val="single" w:color="auto" w:sz="12" w:space="0"/>
              <w:bottom w:val="single" w:color="auto" w:sz="4" w:space="0"/>
            </w:tcBorders>
            <w:shd w:val="clear" w:color="auto" w:fill="auto"/>
          </w:tcPr>
          <w:p>
            <w:pPr>
              <w:ind w:firstLine="420"/>
            </w:pPr>
          </w:p>
        </w:tc>
        <w:tc>
          <w:tcPr>
            <w:tcW w:w="1705" w:type="dxa"/>
            <w:tcBorders>
              <w:top w:val="single" w:color="auto" w:sz="12" w:space="0"/>
              <w:bottom w:val="single" w:color="auto" w:sz="4" w:space="0"/>
            </w:tcBorders>
            <w:shd w:val="clear" w:color="auto" w:fill="auto"/>
          </w:tcPr>
          <w:p>
            <w:pPr>
              <w:ind w:firstLine="420"/>
            </w:pPr>
          </w:p>
        </w:tc>
        <w:tc>
          <w:tcPr>
            <w:tcW w:w="1705" w:type="dxa"/>
            <w:tcBorders>
              <w:top w:val="single" w:color="auto" w:sz="12" w:space="0"/>
              <w:bottom w:val="single" w:color="auto" w:sz="4" w:space="0"/>
            </w:tcBorders>
            <w:shd w:val="clear" w:color="auto" w:fill="auto"/>
          </w:tcPr>
          <w:p>
            <w:pPr>
              <w:ind w:firstLine="420"/>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04" w:type="dxa"/>
            <w:tcBorders>
              <w:top w:val="single" w:color="auto" w:sz="4" w:space="0"/>
            </w:tcBorders>
            <w:shd w:val="clear" w:color="auto" w:fill="auto"/>
          </w:tcPr>
          <w:p>
            <w:pPr>
              <w:ind w:firstLine="420"/>
            </w:pPr>
          </w:p>
        </w:tc>
        <w:tc>
          <w:tcPr>
            <w:tcW w:w="1704" w:type="dxa"/>
            <w:tcBorders>
              <w:top w:val="single" w:color="auto" w:sz="4" w:space="0"/>
            </w:tcBorders>
            <w:shd w:val="clear" w:color="auto" w:fill="auto"/>
          </w:tcPr>
          <w:p>
            <w:pPr>
              <w:ind w:firstLine="420"/>
            </w:pPr>
          </w:p>
        </w:tc>
        <w:tc>
          <w:tcPr>
            <w:tcW w:w="1704" w:type="dxa"/>
            <w:tcBorders>
              <w:top w:val="single" w:color="auto" w:sz="4" w:space="0"/>
            </w:tcBorders>
            <w:shd w:val="clear" w:color="auto" w:fill="auto"/>
          </w:tcPr>
          <w:p>
            <w:pPr>
              <w:ind w:firstLine="420"/>
            </w:pPr>
          </w:p>
        </w:tc>
        <w:tc>
          <w:tcPr>
            <w:tcW w:w="1705" w:type="dxa"/>
            <w:tcBorders>
              <w:top w:val="single" w:color="auto" w:sz="4" w:space="0"/>
            </w:tcBorders>
            <w:shd w:val="clear" w:color="auto" w:fill="auto"/>
          </w:tcPr>
          <w:p>
            <w:pPr>
              <w:ind w:firstLine="420"/>
            </w:pPr>
          </w:p>
        </w:tc>
        <w:tc>
          <w:tcPr>
            <w:tcW w:w="1705" w:type="dxa"/>
            <w:tcBorders>
              <w:top w:val="single" w:color="auto" w:sz="4" w:space="0"/>
            </w:tcBorders>
            <w:shd w:val="clear" w:color="auto" w:fill="auto"/>
          </w:tcPr>
          <w:p>
            <w:pPr>
              <w:ind w:firstLine="420"/>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04" w:type="dxa"/>
            <w:shd w:val="clear" w:color="auto" w:fill="auto"/>
          </w:tcPr>
          <w:p>
            <w:pPr>
              <w:ind w:firstLine="420"/>
            </w:pPr>
          </w:p>
        </w:tc>
        <w:tc>
          <w:tcPr>
            <w:tcW w:w="1704" w:type="dxa"/>
            <w:shd w:val="clear" w:color="auto" w:fill="auto"/>
          </w:tcPr>
          <w:p>
            <w:pPr>
              <w:ind w:firstLine="420"/>
            </w:pPr>
          </w:p>
        </w:tc>
        <w:tc>
          <w:tcPr>
            <w:tcW w:w="1704" w:type="dxa"/>
            <w:shd w:val="clear" w:color="auto" w:fill="auto"/>
          </w:tcPr>
          <w:p>
            <w:pPr>
              <w:ind w:firstLine="420"/>
            </w:pPr>
          </w:p>
        </w:tc>
        <w:tc>
          <w:tcPr>
            <w:tcW w:w="1705" w:type="dxa"/>
            <w:shd w:val="clear" w:color="auto" w:fill="auto"/>
          </w:tcPr>
          <w:p>
            <w:pPr>
              <w:ind w:firstLine="420"/>
            </w:pPr>
          </w:p>
        </w:tc>
        <w:tc>
          <w:tcPr>
            <w:tcW w:w="1705" w:type="dxa"/>
            <w:shd w:val="clear" w:color="auto" w:fill="auto"/>
          </w:tcPr>
          <w:p>
            <w:pPr>
              <w:ind w:firstLine="420"/>
            </w:pPr>
          </w:p>
        </w:tc>
      </w:tr>
    </w:tbl>
    <w:p>
      <w:pPr>
        <w:ind w:firstLine="420"/>
      </w:pPr>
    </w:p>
    <w:p>
      <w:pPr>
        <w:pStyle w:val="15"/>
        <w:numPr>
          <w:ilvl w:val="0"/>
          <w:numId w:val="3"/>
        </w:numPr>
        <w:ind w:firstLineChars="0"/>
        <w:rPr>
          <w:rFonts w:hint="eastAsia"/>
        </w:rPr>
      </w:pPr>
      <w:r>
        <w:t>…</w:t>
      </w:r>
      <w:r>
        <w:rPr>
          <w:rFonts w:hint="eastAsia"/>
        </w:rPr>
        <w:t>.</w:t>
      </w:r>
    </w:p>
    <w:p>
      <w:pPr>
        <w:ind w:firstLine="420"/>
        <w:rPr>
          <w:rFonts w:hint="eastAsia"/>
          <w:sz w:val="36"/>
        </w:rPr>
      </w:pPr>
      <w:r>
        <w:t>……</w:t>
      </w:r>
    </w:p>
    <w:p>
      <w:pPr>
        <w:pStyle w:val="12"/>
        <w:spacing w:before="156" w:beforeLines="50" w:after="156" w:afterLines="50"/>
        <w:rPr>
          <w:rFonts w:eastAsia="黑体"/>
          <w:b/>
          <w:sz w:val="24"/>
        </w:rPr>
      </w:pPr>
      <w:r>
        <w:rPr>
          <w:rFonts w:hint="eastAsia" w:eastAsia="黑体"/>
          <w:b/>
          <w:sz w:val="24"/>
        </w:rPr>
        <w:t>4 结论</w:t>
      </w:r>
    </w:p>
    <w:p>
      <w:pPr>
        <w:pStyle w:val="15"/>
        <w:numPr>
          <w:ilvl w:val="0"/>
          <w:numId w:val="4"/>
        </w:numPr>
        <w:ind w:left="0" w:firstLine="420"/>
        <w:rPr>
          <w:rFonts w:hint="eastAsia" w:ascii="宋体" w:hAnsi="宋体"/>
        </w:rPr>
      </w:pPr>
      <w:r>
        <w:rPr>
          <w:rFonts w:hint="eastAsia" w:ascii="宋体" w:hAnsi="宋体"/>
        </w:rPr>
        <w:t>结论</w:t>
      </w:r>
      <w:r>
        <w:t>1</w:t>
      </w:r>
      <w:r>
        <w:rPr>
          <w:rFonts w:ascii="宋体" w:hAnsi="宋体"/>
        </w:rPr>
        <w:t>……</w:t>
      </w:r>
    </w:p>
    <w:p>
      <w:pPr>
        <w:pStyle w:val="15"/>
        <w:numPr>
          <w:ilvl w:val="0"/>
          <w:numId w:val="4"/>
        </w:numPr>
        <w:ind w:left="0" w:firstLine="420"/>
        <w:rPr>
          <w:rFonts w:hint="eastAsia" w:ascii="宋体" w:hAnsi="宋体"/>
        </w:rPr>
      </w:pPr>
      <w:r>
        <w:rPr>
          <w:rFonts w:hint="eastAsia" w:ascii="宋体" w:hAnsi="宋体"/>
        </w:rPr>
        <w:t>结论</w:t>
      </w:r>
      <w:r>
        <w:t>2</w:t>
      </w:r>
      <w:r>
        <w:rPr>
          <w:rFonts w:ascii="宋体" w:hAnsi="宋体"/>
        </w:rPr>
        <w:t>……</w:t>
      </w:r>
    </w:p>
    <w:p>
      <w:pPr>
        <w:pStyle w:val="15"/>
        <w:numPr>
          <w:ilvl w:val="0"/>
          <w:numId w:val="4"/>
        </w:numPr>
        <w:ind w:left="0" w:firstLine="420"/>
        <w:rPr>
          <w:rFonts w:hint="eastAsia" w:ascii="宋体" w:hAnsi="宋体"/>
        </w:rPr>
      </w:pPr>
      <w:r>
        <w:rPr>
          <w:rFonts w:hint="eastAsia" w:ascii="宋体" w:hAnsi="宋体"/>
        </w:rPr>
        <w:t>结论</w:t>
      </w:r>
      <w:r>
        <w:t>3</w:t>
      </w:r>
      <w:r>
        <w:rPr>
          <w:rFonts w:ascii="宋体" w:hAnsi="宋体"/>
        </w:rPr>
        <w:t>……</w:t>
      </w:r>
    </w:p>
    <w:p>
      <w:pPr>
        <w:spacing w:before="312" w:beforeLines="100" w:after="156" w:afterLines="50"/>
        <w:rPr>
          <w:rFonts w:hint="eastAsia" w:ascii="黑体" w:eastAsia="黑体"/>
          <w:sz w:val="18"/>
          <w:szCs w:val="18"/>
        </w:rPr>
      </w:pPr>
      <w:r>
        <w:rPr>
          <w:rFonts w:hint="eastAsia" w:ascii="黑体" w:eastAsia="黑体"/>
          <w:sz w:val="18"/>
          <w:szCs w:val="18"/>
        </w:rPr>
        <w:t>参 考 文 献</w:t>
      </w:r>
    </w:p>
    <w:p>
      <w:pPr>
        <w:spacing w:line="300" w:lineRule="exact"/>
        <w:rPr>
          <w:rFonts w:hint="eastAsia"/>
          <w:sz w:val="18"/>
        </w:rPr>
      </w:pPr>
      <w:r>
        <w:rPr>
          <w:rFonts w:hint="eastAsia"/>
          <w:sz w:val="18"/>
        </w:rPr>
        <w:t xml:space="preserve">[1] Du Z J, Yang K Z, Gu Y Y, et al. Hydrothermal preparation and microstructure analysis of silver tin oxide contact materials. </w:t>
      </w:r>
      <w:r>
        <w:rPr>
          <w:rFonts w:hint="eastAsia"/>
          <w:bCs/>
          <w:i/>
          <w:sz w:val="18"/>
        </w:rPr>
        <w:t xml:space="preserve">J Univ Sci Technol </w:t>
      </w:r>
      <w:r>
        <w:rPr>
          <w:bCs/>
          <w:i/>
          <w:sz w:val="18"/>
        </w:rPr>
        <w:t>Beijing</w:t>
      </w:r>
      <w:r>
        <w:rPr>
          <w:rFonts w:hint="eastAsia"/>
          <w:b/>
          <w:bCs/>
          <w:sz w:val="18"/>
        </w:rPr>
        <w:t>,</w:t>
      </w:r>
      <w:r>
        <w:rPr>
          <w:rFonts w:hint="eastAsia"/>
        </w:rPr>
        <w:t xml:space="preserve"> </w:t>
      </w:r>
      <w:r>
        <w:rPr>
          <w:rFonts w:hint="eastAsia"/>
          <w:sz w:val="18"/>
        </w:rPr>
        <w:t>2007</w:t>
      </w:r>
      <w:r>
        <w:rPr>
          <w:rFonts w:hint="eastAsia"/>
          <w:sz w:val="18"/>
          <w:lang w:val="en-GB"/>
        </w:rPr>
        <w:t xml:space="preserve">, </w:t>
      </w:r>
      <w:r>
        <w:rPr>
          <w:rFonts w:hint="eastAsia"/>
          <w:sz w:val="18"/>
        </w:rPr>
        <w:t>29</w:t>
      </w:r>
      <w:r>
        <w:rPr>
          <w:rFonts w:hint="eastAsia"/>
          <w:sz w:val="18"/>
          <w:lang w:val="en-GB"/>
        </w:rPr>
        <w:t>(</w:t>
      </w:r>
      <w:r>
        <w:rPr>
          <w:rFonts w:hint="eastAsia"/>
          <w:sz w:val="18"/>
        </w:rPr>
        <w:t>10): 1023</w:t>
      </w:r>
    </w:p>
    <w:p>
      <w:pPr>
        <w:spacing w:line="300" w:lineRule="exact"/>
        <w:rPr>
          <w:rFonts w:hint="eastAsia"/>
          <w:lang w:val="en-GB"/>
        </w:rPr>
      </w:pPr>
      <w:r>
        <w:rPr>
          <w:rFonts w:hint="eastAsia"/>
          <w:lang w:val="en-GB"/>
        </w:rPr>
        <w:t>（</w:t>
      </w:r>
      <w:r>
        <w:rPr>
          <w:rFonts w:hint="eastAsia"/>
          <w:sz w:val="18"/>
        </w:rPr>
        <w:t xml:space="preserve">杜作娟, 杨开足, 古映莹, 等. 银氧化锡触点材料的水热制备及组织分析. </w:t>
      </w:r>
      <w:r>
        <w:rPr>
          <w:rFonts w:hint="eastAsia"/>
          <w:bCs/>
          <w:sz w:val="18"/>
        </w:rPr>
        <w:t>北京科技大学学报</w:t>
      </w:r>
      <w:r>
        <w:rPr>
          <w:rFonts w:hint="eastAsia"/>
          <w:sz w:val="18"/>
        </w:rPr>
        <w:t>, 2007, 29(10): 1023</w:t>
      </w:r>
      <w:r>
        <w:rPr>
          <w:rFonts w:hint="eastAsia"/>
          <w:lang w:val="en-GB"/>
        </w:rPr>
        <w:t>）</w:t>
      </w:r>
    </w:p>
    <w:p>
      <w:pPr>
        <w:spacing w:line="300" w:lineRule="exact"/>
        <w:rPr>
          <w:rFonts w:hint="eastAsia"/>
        </w:rPr>
      </w:pPr>
      <w:r>
        <w:rPr>
          <w:rFonts w:hint="eastAsia"/>
          <w:bCs/>
          <w:sz w:val="18"/>
          <w:szCs w:val="18"/>
        </w:rPr>
        <w:t xml:space="preserve">[2] </w:t>
      </w:r>
      <w:r>
        <w:rPr>
          <w:rFonts w:hint="eastAsia"/>
          <w:spacing w:val="4"/>
          <w:sz w:val="18"/>
        </w:rPr>
        <w:t xml:space="preserve">Araki H, Saji S, Okabe T, </w:t>
      </w:r>
      <w:r>
        <w:rPr>
          <w:spacing w:val="4"/>
          <w:sz w:val="18"/>
        </w:rPr>
        <w:t>et al.</w:t>
      </w:r>
      <w:r>
        <w:rPr>
          <w:rFonts w:hint="eastAsia"/>
          <w:spacing w:val="4"/>
          <w:sz w:val="18"/>
        </w:rPr>
        <w:t xml:space="preserve"> </w:t>
      </w:r>
      <w:r>
        <w:rPr>
          <w:rFonts w:hint="eastAsia"/>
          <w:sz w:val="18"/>
        </w:rPr>
        <w:t>Solidation of mechanically alloyed Al</w:t>
      </w:r>
      <w:r>
        <w:rPr>
          <w:rFonts w:hint="eastAsia" w:ascii="宋体" w:hAnsi="宋体"/>
          <w:sz w:val="18"/>
        </w:rPr>
        <w:t>-</w:t>
      </w:r>
      <w:r>
        <w:rPr>
          <w:rFonts w:hint="eastAsia"/>
          <w:sz w:val="18"/>
        </w:rPr>
        <w:t>10.7%Ti powder at low temperature and high pressure of 2 GPa</w:t>
      </w:r>
      <w:r>
        <w:rPr>
          <w:rFonts w:hint="eastAsia"/>
          <w:sz w:val="18"/>
          <w:lang w:val="en-GB"/>
        </w:rPr>
        <w:t xml:space="preserve">. </w:t>
      </w:r>
      <w:r>
        <w:rPr>
          <w:bCs/>
          <w:i/>
          <w:sz w:val="18"/>
        </w:rPr>
        <w:t>Mater</w:t>
      </w:r>
      <w:r>
        <w:rPr>
          <w:rFonts w:hint="eastAsia"/>
          <w:bCs/>
          <w:i/>
          <w:sz w:val="18"/>
        </w:rPr>
        <w:t xml:space="preserve"> </w:t>
      </w:r>
      <w:r>
        <w:rPr>
          <w:bCs/>
          <w:i/>
          <w:sz w:val="18"/>
        </w:rPr>
        <w:t>Trans</w:t>
      </w:r>
      <w:r>
        <w:rPr>
          <w:rFonts w:hint="eastAsia"/>
          <w:bCs/>
          <w:i/>
          <w:sz w:val="18"/>
        </w:rPr>
        <w:t xml:space="preserve"> </w:t>
      </w:r>
      <w:r>
        <w:rPr>
          <w:bCs/>
          <w:i/>
          <w:sz w:val="18"/>
        </w:rPr>
        <w:t>JIM</w:t>
      </w:r>
      <w:r>
        <w:rPr>
          <w:rFonts w:hint="eastAsia"/>
          <w:sz w:val="18"/>
          <w:szCs w:val="18"/>
        </w:rPr>
        <w:t xml:space="preserve">, </w:t>
      </w:r>
      <w:r>
        <w:rPr>
          <w:rFonts w:hint="eastAsia"/>
          <w:spacing w:val="4"/>
          <w:sz w:val="18"/>
        </w:rPr>
        <w:t>1995</w:t>
      </w:r>
      <w:r>
        <w:rPr>
          <w:rFonts w:hint="eastAsia"/>
          <w:spacing w:val="4"/>
          <w:sz w:val="18"/>
          <w:lang w:val="en-GB"/>
        </w:rPr>
        <w:t xml:space="preserve">, </w:t>
      </w:r>
      <w:r>
        <w:rPr>
          <w:rFonts w:hint="eastAsia"/>
          <w:spacing w:val="4"/>
          <w:sz w:val="18"/>
        </w:rPr>
        <w:t>36 (3)</w:t>
      </w:r>
      <w:r>
        <w:rPr>
          <w:rFonts w:hint="eastAsia"/>
          <w:spacing w:val="4"/>
          <w:sz w:val="18"/>
          <w:lang w:val="en-GB"/>
        </w:rPr>
        <w:t xml:space="preserve">: </w:t>
      </w:r>
      <w:r>
        <w:rPr>
          <w:rFonts w:hint="eastAsia"/>
          <w:spacing w:val="4"/>
          <w:sz w:val="18"/>
        </w:rPr>
        <w:t>465</w:t>
      </w:r>
    </w:p>
    <w:p>
      <w:pPr>
        <w:rPr>
          <w:rFonts w:hint="eastAsia"/>
          <w:b/>
          <w:bCs/>
          <w:sz w:val="18"/>
        </w:rPr>
      </w:pPr>
      <w:r>
        <w:rPr>
          <w:rFonts w:hint="eastAsia"/>
          <w:sz w:val="18"/>
        </w:rPr>
        <w:t xml:space="preserve">[3] Wu C J, Chen G L, Qiang W J. </w:t>
      </w:r>
      <w:r>
        <w:rPr>
          <w:rFonts w:hint="eastAsia"/>
          <w:i/>
          <w:iCs/>
          <w:sz w:val="18"/>
        </w:rPr>
        <w:t>Metal Material Science</w:t>
      </w:r>
      <w:r>
        <w:rPr>
          <w:rFonts w:hint="eastAsia"/>
          <w:sz w:val="18"/>
        </w:rPr>
        <w:t>. Beijing: Metallurgical Industry Press, 2000</w:t>
      </w:r>
    </w:p>
    <w:p>
      <w:pPr>
        <w:rPr>
          <w:rFonts w:hint="eastAsia"/>
          <w:sz w:val="18"/>
        </w:rPr>
      </w:pPr>
      <w:r>
        <w:rPr>
          <w:rFonts w:hint="eastAsia"/>
          <w:sz w:val="18"/>
        </w:rPr>
        <w:t>(吴承建，陈国良，强文江. 金属材料学. 北京：冶金工业出版社，2000)</w:t>
      </w:r>
    </w:p>
    <w:p>
      <w:pPr>
        <w:rPr>
          <w:rFonts w:hint="eastAsia"/>
          <w:sz w:val="18"/>
        </w:rPr>
      </w:pPr>
      <w:r>
        <w:rPr>
          <w:rFonts w:hint="eastAsia"/>
          <w:sz w:val="18"/>
        </w:rPr>
        <w:t xml:space="preserve">[4] Shen C, Shi X L, Tang S G, et al. The application of dynamic control steelmaking with gas analysis in Masteel // </w:t>
      </w:r>
      <w:r>
        <w:rPr>
          <w:rFonts w:hint="eastAsia"/>
          <w:i/>
          <w:iCs/>
          <w:sz w:val="18"/>
        </w:rPr>
        <w:t>Proceedings of China Iron &amp; Steel Annual Meeting</w:t>
      </w:r>
      <w:r>
        <w:rPr>
          <w:rFonts w:hint="eastAsia"/>
          <w:sz w:val="18"/>
        </w:rPr>
        <w:t>. Beijing, 2005: 165</w:t>
      </w:r>
    </w:p>
    <w:p>
      <w:pPr>
        <w:rPr>
          <w:rFonts w:hint="eastAsia"/>
          <w:sz w:val="18"/>
        </w:rPr>
      </w:pPr>
      <w:r>
        <w:rPr>
          <w:rFonts w:hint="eastAsia"/>
          <w:sz w:val="18"/>
        </w:rPr>
        <w:t>(沈昶，施雄梁，汤曙光，等. 烟气分析动态控制炼钢在马钢的应用//中国钢铁年会论文集. 北京，2005:165)</w:t>
      </w:r>
    </w:p>
    <w:p>
      <w:pPr>
        <w:ind w:left="180" w:hanging="180" w:hangingChars="100"/>
        <w:rPr>
          <w:rFonts w:hint="eastAsia"/>
          <w:sz w:val="18"/>
          <w:szCs w:val="18"/>
        </w:rPr>
      </w:pPr>
      <w:r>
        <w:rPr>
          <w:rFonts w:hint="eastAsia"/>
          <w:sz w:val="18"/>
        </w:rPr>
        <w:t xml:space="preserve">[5] </w:t>
      </w:r>
      <w:r>
        <w:rPr>
          <w:rFonts w:hint="eastAsia"/>
          <w:sz w:val="18"/>
          <w:szCs w:val="18"/>
        </w:rPr>
        <w:t xml:space="preserve">Wang L B. </w:t>
      </w:r>
      <w:r>
        <w:rPr>
          <w:rFonts w:hint="eastAsia"/>
          <w:i/>
          <w:sz w:val="18"/>
          <w:szCs w:val="18"/>
        </w:rPr>
        <w:t>A Study on the Bars</w:t>
      </w:r>
      <w:r>
        <w:rPr>
          <w:i/>
          <w:sz w:val="18"/>
          <w:szCs w:val="18"/>
        </w:rPr>
        <w:t>’</w:t>
      </w:r>
      <w:r>
        <w:rPr>
          <w:rFonts w:hint="eastAsia"/>
          <w:i/>
          <w:sz w:val="18"/>
          <w:szCs w:val="18"/>
        </w:rPr>
        <w:t xml:space="preserve"> Cooling Equipment and the Cooling Parameters</w:t>
      </w:r>
      <w:r>
        <w:rPr>
          <w:rFonts w:hint="eastAsia"/>
          <w:sz w:val="18"/>
          <w:szCs w:val="18"/>
        </w:rPr>
        <w:t xml:space="preserve"> [Dissertation]. Beijing: University of Science and Technology Beijing, 2009: 2</w:t>
      </w:r>
    </w:p>
    <w:p>
      <w:pPr>
        <w:rPr>
          <w:rFonts w:hint="eastAsia"/>
          <w:sz w:val="18"/>
        </w:rPr>
      </w:pPr>
      <w:r>
        <w:rPr>
          <w:rFonts w:hint="eastAsia"/>
          <w:sz w:val="18"/>
          <w:szCs w:val="18"/>
        </w:rPr>
        <w:t>(王令宝. 棒材控冷设备结构及其参数研究[学位论文]. 北京: 北京科技大学，2009：2)</w:t>
      </w:r>
    </w:p>
    <w:p>
      <w:pPr>
        <w:rPr>
          <w:rFonts w:hint="eastAsia" w:cs="Arial"/>
          <w:sz w:val="18"/>
          <w:szCs w:val="18"/>
        </w:rPr>
      </w:pPr>
      <w:r>
        <w:rPr>
          <w:rFonts w:hint="eastAsia"/>
          <w:sz w:val="18"/>
        </w:rPr>
        <w:t xml:space="preserve">[6] </w:t>
      </w:r>
      <w:r>
        <w:rPr>
          <w:rFonts w:hint="eastAsia"/>
          <w:sz w:val="18"/>
          <w:szCs w:val="21"/>
        </w:rPr>
        <w:t>Ni W</w:t>
      </w:r>
      <w:r>
        <w:rPr>
          <w:rFonts w:hint="eastAsia" w:cs="Arial"/>
          <w:sz w:val="18"/>
          <w:szCs w:val="21"/>
        </w:rPr>
        <w:t>,</w:t>
      </w:r>
      <w:r>
        <w:rPr>
          <w:rFonts w:hint="eastAsia"/>
          <w:sz w:val="18"/>
          <w:szCs w:val="21"/>
        </w:rPr>
        <w:t xml:space="preserve"> Zheng Y C</w:t>
      </w:r>
      <w:r>
        <w:rPr>
          <w:rFonts w:hint="eastAsia" w:cs="Arial"/>
          <w:sz w:val="18"/>
          <w:szCs w:val="21"/>
        </w:rPr>
        <w:t xml:space="preserve">, </w:t>
      </w:r>
      <w:r>
        <w:rPr>
          <w:rFonts w:hint="eastAsia"/>
          <w:sz w:val="18"/>
          <w:szCs w:val="21"/>
        </w:rPr>
        <w:t>Guo Z N</w:t>
      </w:r>
      <w:r>
        <w:rPr>
          <w:rFonts w:hint="eastAsia"/>
          <w:sz w:val="18"/>
        </w:rPr>
        <w:t xml:space="preserve">, et al. </w:t>
      </w:r>
      <w:r>
        <w:rPr>
          <w:rFonts w:hint="eastAsia"/>
          <w:i/>
          <w:sz w:val="18"/>
          <w:szCs w:val="36"/>
        </w:rPr>
        <w:t>A Method of Making H</w:t>
      </w:r>
      <w:r>
        <w:rPr>
          <w:i/>
          <w:sz w:val="18"/>
          <w:szCs w:val="36"/>
        </w:rPr>
        <w:t xml:space="preserve">igh </w:t>
      </w:r>
      <w:r>
        <w:rPr>
          <w:rFonts w:hint="eastAsia"/>
          <w:i/>
          <w:sz w:val="18"/>
          <w:szCs w:val="36"/>
        </w:rPr>
        <w:t>S</w:t>
      </w:r>
      <w:r>
        <w:rPr>
          <w:i/>
          <w:sz w:val="18"/>
          <w:szCs w:val="36"/>
        </w:rPr>
        <w:t xml:space="preserve">trength </w:t>
      </w:r>
      <w:r>
        <w:rPr>
          <w:rFonts w:hint="eastAsia"/>
          <w:i/>
          <w:sz w:val="18"/>
          <w:szCs w:val="36"/>
        </w:rPr>
        <w:t>S</w:t>
      </w:r>
      <w:r>
        <w:rPr>
          <w:i/>
          <w:sz w:val="18"/>
          <w:szCs w:val="36"/>
        </w:rPr>
        <w:t xml:space="preserve">tructural </w:t>
      </w:r>
      <w:r>
        <w:rPr>
          <w:rFonts w:hint="eastAsia"/>
          <w:i/>
          <w:sz w:val="18"/>
          <w:szCs w:val="36"/>
        </w:rPr>
        <w:t>M</w:t>
      </w:r>
      <w:r>
        <w:rPr>
          <w:i/>
          <w:sz w:val="18"/>
          <w:szCs w:val="36"/>
        </w:rPr>
        <w:t xml:space="preserve">aterial with </w:t>
      </w:r>
      <w:r>
        <w:rPr>
          <w:rFonts w:hint="eastAsia"/>
          <w:i/>
          <w:sz w:val="18"/>
          <w:szCs w:val="36"/>
        </w:rPr>
        <w:t>I</w:t>
      </w:r>
      <w:r>
        <w:rPr>
          <w:i/>
          <w:sz w:val="18"/>
          <w:szCs w:val="36"/>
        </w:rPr>
        <w:t>ron</w:t>
      </w:r>
      <w:r>
        <w:rPr>
          <w:rFonts w:hint="eastAsia"/>
          <w:i/>
          <w:sz w:val="18"/>
          <w:szCs w:val="36"/>
        </w:rPr>
        <w:t xml:space="preserve"> Ore T</w:t>
      </w:r>
      <w:r>
        <w:rPr>
          <w:i/>
          <w:sz w:val="18"/>
          <w:szCs w:val="36"/>
        </w:rPr>
        <w:t>ailing</w:t>
      </w:r>
      <w:r>
        <w:rPr>
          <w:rFonts w:hint="eastAsia"/>
          <w:sz w:val="18"/>
        </w:rPr>
        <w:t xml:space="preserve">: </w:t>
      </w:r>
      <w:r>
        <w:rPr>
          <w:rFonts w:hint="eastAsia" w:cs="Arial"/>
          <w:sz w:val="18"/>
          <w:szCs w:val="21"/>
        </w:rPr>
        <w:t xml:space="preserve">China Patent, </w:t>
      </w:r>
      <w:r>
        <w:rPr>
          <w:rFonts w:cs="Arial"/>
          <w:sz w:val="18"/>
          <w:szCs w:val="21"/>
        </w:rPr>
        <w:t>200710177294</w:t>
      </w:r>
      <w:r>
        <w:rPr>
          <w:rFonts w:hint="eastAsia"/>
          <w:sz w:val="18"/>
        </w:rPr>
        <w:t xml:space="preserve">. </w:t>
      </w:r>
      <w:r>
        <w:rPr>
          <w:rFonts w:cs="Arial"/>
          <w:sz w:val="18"/>
          <w:szCs w:val="18"/>
        </w:rPr>
        <w:t>2008</w:t>
      </w:r>
      <w:r>
        <w:rPr>
          <w:rFonts w:hint="eastAsia" w:cs="Arial"/>
          <w:sz w:val="18"/>
          <w:szCs w:val="18"/>
        </w:rPr>
        <w:t>-</w:t>
      </w:r>
      <w:r>
        <w:rPr>
          <w:rFonts w:cs="Arial"/>
          <w:sz w:val="18"/>
          <w:szCs w:val="18"/>
        </w:rPr>
        <w:t>05</w:t>
      </w:r>
      <w:r>
        <w:rPr>
          <w:rFonts w:hint="eastAsia" w:cs="Arial"/>
          <w:sz w:val="18"/>
          <w:szCs w:val="18"/>
        </w:rPr>
        <w:t>-</w:t>
      </w:r>
      <w:r>
        <w:rPr>
          <w:rFonts w:cs="Arial"/>
          <w:sz w:val="18"/>
          <w:szCs w:val="18"/>
        </w:rPr>
        <w:t>21</w:t>
      </w:r>
    </w:p>
    <w:p>
      <w:pPr>
        <w:rPr>
          <w:rFonts w:hint="eastAsia"/>
          <w:sz w:val="18"/>
        </w:rPr>
      </w:pPr>
      <w:r>
        <w:rPr>
          <w:rFonts w:hint="eastAsia"/>
          <w:sz w:val="18"/>
          <w:lang w:val="en-GB"/>
        </w:rPr>
        <w:t>（</w:t>
      </w:r>
      <w:r>
        <w:rPr>
          <w:rFonts w:cs="Arial"/>
          <w:sz w:val="18"/>
          <w:szCs w:val="21"/>
        </w:rPr>
        <w:t>倪文</w:t>
      </w:r>
      <w:r>
        <w:rPr>
          <w:sz w:val="18"/>
        </w:rPr>
        <w:t>,</w:t>
      </w:r>
      <w:r>
        <w:rPr>
          <w:rFonts w:cs="Arial"/>
          <w:sz w:val="18"/>
          <w:szCs w:val="21"/>
        </w:rPr>
        <w:t>郑永超</w:t>
      </w:r>
      <w:r>
        <w:rPr>
          <w:rFonts w:hint="eastAsia" w:cs="Arial"/>
          <w:sz w:val="18"/>
          <w:szCs w:val="21"/>
        </w:rPr>
        <w:t>,</w:t>
      </w:r>
      <w:r>
        <w:rPr>
          <w:rFonts w:cs="Arial"/>
          <w:sz w:val="18"/>
          <w:szCs w:val="21"/>
        </w:rPr>
        <w:t>郭珍妮</w:t>
      </w:r>
      <w:r>
        <w:rPr>
          <w:rFonts w:hint="eastAsia" w:cs="Arial"/>
          <w:sz w:val="18"/>
          <w:szCs w:val="21"/>
        </w:rPr>
        <w:t>, 等</w:t>
      </w:r>
      <w:r>
        <w:rPr>
          <w:rFonts w:hint="eastAsia"/>
          <w:sz w:val="18"/>
        </w:rPr>
        <w:t xml:space="preserve">. </w:t>
      </w:r>
      <w:r>
        <w:rPr>
          <w:rFonts w:cs="Arial"/>
          <w:sz w:val="18"/>
          <w:szCs w:val="21"/>
        </w:rPr>
        <w:t>一种利用铁尾矿制备高强结构材料的方法</w:t>
      </w:r>
      <w:r>
        <w:rPr>
          <w:rFonts w:hint="eastAsia"/>
          <w:sz w:val="18"/>
        </w:rPr>
        <w:t>:</w:t>
      </w:r>
      <w:r>
        <w:rPr>
          <w:rFonts w:hint="eastAsia" w:cs="Arial"/>
          <w:sz w:val="18"/>
          <w:szCs w:val="21"/>
        </w:rPr>
        <w:t xml:space="preserve">中国专利, </w:t>
      </w:r>
      <w:r>
        <w:rPr>
          <w:rFonts w:cs="Arial"/>
          <w:sz w:val="18"/>
          <w:szCs w:val="21"/>
        </w:rPr>
        <w:t>200710177294</w:t>
      </w:r>
      <w:r>
        <w:rPr>
          <w:rFonts w:hint="eastAsia"/>
          <w:sz w:val="18"/>
        </w:rPr>
        <w:t xml:space="preserve">. </w:t>
      </w:r>
      <w:r>
        <w:rPr>
          <w:rFonts w:cs="Arial"/>
          <w:sz w:val="18"/>
          <w:szCs w:val="18"/>
        </w:rPr>
        <w:t>2008</w:t>
      </w:r>
      <w:r>
        <w:rPr>
          <w:rFonts w:hint="eastAsia" w:cs="Arial"/>
          <w:sz w:val="18"/>
          <w:szCs w:val="18"/>
        </w:rPr>
        <w:t>-</w:t>
      </w:r>
      <w:r>
        <w:rPr>
          <w:rFonts w:cs="Arial"/>
          <w:sz w:val="18"/>
          <w:szCs w:val="18"/>
        </w:rPr>
        <w:t>05</w:t>
      </w:r>
      <w:r>
        <w:rPr>
          <w:rFonts w:hint="eastAsia" w:cs="Arial"/>
          <w:sz w:val="18"/>
          <w:szCs w:val="18"/>
        </w:rPr>
        <w:t>-</w:t>
      </w:r>
      <w:r>
        <w:rPr>
          <w:rFonts w:cs="Arial"/>
          <w:sz w:val="18"/>
          <w:szCs w:val="18"/>
        </w:rPr>
        <w:t>21</w:t>
      </w:r>
      <w:r>
        <w:rPr>
          <w:rFonts w:hint="eastAsia"/>
          <w:sz w:val="18"/>
          <w:lang w:val="en-GB"/>
        </w:rPr>
        <w:t>）</w:t>
      </w:r>
    </w:p>
    <w:p>
      <w:pPr>
        <w:autoSpaceDE w:val="0"/>
        <w:autoSpaceDN w:val="0"/>
        <w:adjustRightInd w:val="0"/>
        <w:ind w:left="450" w:hanging="450" w:hangingChars="250"/>
        <w:jc w:val="left"/>
        <w:textAlignment w:val="baseline"/>
        <w:rPr>
          <w:rFonts w:hint="eastAsia"/>
          <w:sz w:val="18"/>
        </w:rPr>
      </w:pPr>
      <w:r>
        <w:rPr>
          <w:rFonts w:hint="eastAsia"/>
          <w:sz w:val="18"/>
        </w:rPr>
        <w:t xml:space="preserve">[7] </w:t>
      </w:r>
      <w:r>
        <w:rPr>
          <w:sz w:val="18"/>
        </w:rPr>
        <w:t>Professional</w:t>
      </w:r>
      <w:r>
        <w:rPr>
          <w:rFonts w:hint="eastAsia" w:ascii="宋体" w:hAnsi="宋体"/>
          <w:sz w:val="18"/>
        </w:rPr>
        <w:t xml:space="preserve"> </w:t>
      </w:r>
      <w:r>
        <w:rPr>
          <w:sz w:val="18"/>
        </w:rPr>
        <w:t>Standards Compilation Group of People’s Republic of China.</w:t>
      </w:r>
      <w:r>
        <w:rPr>
          <w:rFonts w:hint="eastAsia"/>
          <w:sz w:val="18"/>
        </w:rPr>
        <w:t xml:space="preserve"> </w:t>
      </w:r>
      <w:r>
        <w:rPr>
          <w:sz w:val="18"/>
        </w:rPr>
        <w:t>SL264</w:t>
      </w:r>
      <w:r>
        <w:rPr>
          <w:rFonts w:hint="eastAsia"/>
          <w:sz w:val="18"/>
        </w:rPr>
        <w:t>-</w:t>
      </w:r>
      <w:r>
        <w:rPr>
          <w:sz w:val="18"/>
        </w:rPr>
        <w:t xml:space="preserve">2001 </w:t>
      </w:r>
      <w:r>
        <w:rPr>
          <w:i/>
          <w:sz w:val="18"/>
        </w:rPr>
        <w:t xml:space="preserve">Specifications for </w:t>
      </w:r>
      <w:r>
        <w:rPr>
          <w:rFonts w:hint="eastAsia"/>
          <w:i/>
          <w:sz w:val="18"/>
        </w:rPr>
        <w:t>R</w:t>
      </w:r>
      <w:r>
        <w:rPr>
          <w:i/>
          <w:sz w:val="18"/>
        </w:rPr>
        <w:t>ock</w:t>
      </w:r>
      <w:r>
        <w:rPr>
          <w:rFonts w:hint="eastAsia"/>
          <w:i/>
          <w:sz w:val="18"/>
        </w:rPr>
        <w:t xml:space="preserve"> T</w:t>
      </w:r>
      <w:r>
        <w:rPr>
          <w:i/>
          <w:sz w:val="18"/>
        </w:rPr>
        <w:t xml:space="preserve">ests in </w:t>
      </w:r>
      <w:r>
        <w:rPr>
          <w:rFonts w:hint="eastAsia"/>
          <w:i/>
          <w:sz w:val="18"/>
        </w:rPr>
        <w:t>W</w:t>
      </w:r>
      <w:r>
        <w:rPr>
          <w:i/>
          <w:sz w:val="18"/>
        </w:rPr>
        <w:t xml:space="preserve">ater </w:t>
      </w:r>
      <w:r>
        <w:rPr>
          <w:rFonts w:hint="eastAsia"/>
          <w:i/>
          <w:sz w:val="18"/>
        </w:rPr>
        <w:t>C</w:t>
      </w:r>
      <w:r>
        <w:rPr>
          <w:i/>
          <w:sz w:val="18"/>
        </w:rPr>
        <w:t xml:space="preserve">onservancy and </w:t>
      </w:r>
      <w:r>
        <w:rPr>
          <w:rFonts w:hint="eastAsia"/>
          <w:i/>
          <w:sz w:val="18"/>
        </w:rPr>
        <w:t>H</w:t>
      </w:r>
      <w:r>
        <w:rPr>
          <w:i/>
          <w:sz w:val="18"/>
        </w:rPr>
        <w:t>ydroelectricengineering</w:t>
      </w:r>
      <w:r>
        <w:rPr>
          <w:sz w:val="18"/>
        </w:rPr>
        <w:t>. Beijing</w:t>
      </w:r>
      <w:r>
        <w:rPr>
          <w:rFonts w:hint="eastAsia"/>
          <w:sz w:val="18"/>
        </w:rPr>
        <w:t xml:space="preserve">: </w:t>
      </w:r>
      <w:r>
        <w:rPr>
          <w:sz w:val="18"/>
        </w:rPr>
        <w:t>China Water Power Press</w:t>
      </w:r>
      <w:r>
        <w:rPr>
          <w:rFonts w:hint="eastAsia"/>
          <w:sz w:val="18"/>
        </w:rPr>
        <w:t xml:space="preserve">, </w:t>
      </w:r>
      <w:r>
        <w:rPr>
          <w:sz w:val="18"/>
        </w:rPr>
        <w:t>2001</w:t>
      </w:r>
    </w:p>
    <w:p>
      <w:pPr>
        <w:autoSpaceDE w:val="0"/>
        <w:autoSpaceDN w:val="0"/>
        <w:adjustRightInd w:val="0"/>
        <w:ind w:left="450" w:hanging="450" w:hangingChars="250"/>
        <w:jc w:val="left"/>
        <w:textAlignment w:val="baseline"/>
        <w:rPr>
          <w:rFonts w:ascii="宋体" w:hAnsi="宋体"/>
          <w:sz w:val="18"/>
        </w:rPr>
      </w:pPr>
      <w:r>
        <w:rPr>
          <w:sz w:val="18"/>
        </w:rPr>
        <w:t>(</w:t>
      </w:r>
      <w:r>
        <w:rPr>
          <w:rFonts w:hint="eastAsia"/>
          <w:sz w:val="18"/>
        </w:rPr>
        <w:t>中华人民共和国行业标准编写组</w:t>
      </w:r>
      <w:r>
        <w:rPr>
          <w:sz w:val="18"/>
        </w:rPr>
        <w:t>.SL264</w:t>
      </w:r>
      <w:r>
        <w:rPr>
          <w:rFonts w:hint="eastAsia"/>
          <w:sz w:val="18"/>
        </w:rPr>
        <w:t>-</w:t>
      </w:r>
      <w:r>
        <w:rPr>
          <w:sz w:val="18"/>
        </w:rPr>
        <w:t>001</w:t>
      </w:r>
      <w:r>
        <w:rPr>
          <w:rFonts w:hint="eastAsia"/>
          <w:sz w:val="18"/>
        </w:rPr>
        <w:t>水利水电工程岩石实验规程</w:t>
      </w:r>
      <w:r>
        <w:rPr>
          <w:sz w:val="18"/>
        </w:rPr>
        <w:t>.</w:t>
      </w:r>
      <w:r>
        <w:rPr>
          <w:rFonts w:hint="eastAsia"/>
          <w:sz w:val="18"/>
        </w:rPr>
        <w:t>北京:中国水利水电出版社,</w:t>
      </w:r>
      <w:r>
        <w:rPr>
          <w:sz w:val="18"/>
        </w:rPr>
        <w:t>2001)</w:t>
      </w:r>
    </w:p>
    <w:p>
      <w:pPr>
        <w:rPr>
          <w:rFonts w:hint="eastAsia"/>
          <w:b/>
          <w:bCs/>
          <w:sz w:val="18"/>
        </w:rPr>
      </w:pPr>
    </w:p>
    <w:p>
      <w:pPr>
        <w:rPr>
          <w:rFonts w:hint="eastAsia"/>
          <w:b/>
          <w:bCs/>
          <w:sz w:val="18"/>
        </w:rPr>
      </w:pPr>
    </w:p>
    <w:p>
      <w:pPr>
        <w:rPr>
          <w:rFonts w:hint="eastAsia"/>
          <w:b/>
          <w:bCs/>
          <w:sz w:val="18"/>
        </w:rPr>
      </w:pPr>
    </w:p>
    <w:p>
      <w:pPr>
        <w:rPr>
          <w:rFonts w:hint="eastAsia"/>
          <w:b/>
          <w:bCs/>
          <w:sz w:val="18"/>
        </w:rPr>
      </w:pPr>
    </w:p>
    <w:p>
      <w:pPr>
        <w:rPr>
          <w:rFonts w:hint="eastAsia"/>
          <w:b/>
          <w:bCs/>
          <w:sz w:val="18"/>
        </w:rPr>
      </w:pPr>
    </w:p>
    <w:p>
      <w:pPr>
        <w:rPr>
          <w:rFonts w:hint="eastAsia"/>
          <w:b/>
          <w:bCs/>
          <w:sz w:val="18"/>
        </w:rPr>
      </w:pPr>
    </w:p>
    <w:p>
      <w:pPr>
        <w:rPr>
          <w:rFonts w:hint="eastAsia"/>
          <w:b/>
          <w:bCs/>
          <w:sz w:val="18"/>
        </w:rPr>
      </w:pPr>
    </w:p>
    <w:p>
      <w:pPr>
        <w:rPr>
          <w:rFonts w:hint="eastAsia"/>
          <w:b/>
          <w:bCs/>
          <w:sz w:val="18"/>
        </w:rPr>
      </w:pPr>
    </w:p>
    <w:p>
      <w:pPr>
        <w:rPr>
          <w:rFonts w:hint="eastAsia"/>
          <w:b/>
          <w:bCs/>
          <w:sz w:val="18"/>
        </w:rPr>
      </w:pPr>
      <w:r>
        <w:rPr>
          <w:rFonts w:hint="eastAsia"/>
          <w:b/>
          <w:bCs/>
          <w:sz w:val="18"/>
        </w:rPr>
        <w:t xml:space="preserve">注：  </w:t>
      </w:r>
      <w:r>
        <w:rPr>
          <w:rFonts w:hint="eastAsia"/>
          <w:sz w:val="18"/>
        </w:rPr>
        <w:t xml:space="preserve">(1) </w:t>
      </w:r>
      <w:r>
        <w:rPr>
          <w:rFonts w:hint="eastAsia" w:ascii="宋体" w:hAnsi="宋体"/>
          <w:bCs/>
          <w:sz w:val="18"/>
          <w:szCs w:val="18"/>
        </w:rPr>
        <w:t>所有非英文文献均须同时列出相应的英文．</w:t>
      </w:r>
    </w:p>
    <w:p>
      <w:pPr>
        <w:ind w:firstLine="540" w:firstLineChars="300"/>
        <w:rPr>
          <w:rFonts w:hint="eastAsia"/>
          <w:sz w:val="18"/>
        </w:rPr>
      </w:pPr>
      <w:r>
        <w:rPr>
          <w:rFonts w:hint="eastAsia"/>
          <w:bCs/>
          <w:sz w:val="18"/>
        </w:rPr>
        <w:t>(2)</w:t>
      </w:r>
      <w:r>
        <w:rPr>
          <w:rFonts w:hint="eastAsia"/>
          <w:b/>
          <w:bCs/>
          <w:sz w:val="18"/>
        </w:rPr>
        <w:t xml:space="preserve"> </w:t>
      </w:r>
      <w:r>
        <w:rPr>
          <w:rFonts w:hint="eastAsia"/>
          <w:sz w:val="18"/>
        </w:rPr>
        <w:t>各参考文献均需列出3位作者之后，再加“等”, 页号只要起始页．</w:t>
      </w:r>
    </w:p>
    <w:p>
      <w:pPr>
        <w:spacing w:line="300" w:lineRule="exact"/>
        <w:ind w:firstLine="540" w:firstLineChars="300"/>
        <w:rPr>
          <w:rFonts w:hint="eastAsia"/>
          <w:sz w:val="18"/>
        </w:rPr>
      </w:pPr>
      <w:r>
        <w:rPr>
          <w:rFonts w:hint="eastAsia"/>
          <w:bCs/>
          <w:sz w:val="18"/>
        </w:rPr>
        <w:t>(3)</w:t>
      </w:r>
      <w:r>
        <w:rPr>
          <w:rFonts w:hint="eastAsia"/>
          <w:b/>
          <w:bCs/>
          <w:sz w:val="18"/>
        </w:rPr>
        <w:t xml:space="preserve"> </w:t>
      </w:r>
      <w:r>
        <w:rPr>
          <w:rFonts w:hint="eastAsia"/>
          <w:sz w:val="18"/>
        </w:rPr>
        <w:t>会议论文集必须标明会议地点，专著必须标明出版地点和出版社．</w:t>
      </w:r>
      <w:bookmarkStart w:id="0" w:name="_GoBack"/>
      <w:bookmarkEnd w:id="0"/>
    </w:p>
    <w:p>
      <w:pPr>
        <w:ind w:firstLine="540" w:firstLineChars="300"/>
      </w:pPr>
      <w:r>
        <w:rPr>
          <w:rFonts w:hint="eastAsia"/>
          <w:sz w:val="18"/>
        </w:rPr>
        <w:t>(4) 以上分别列出：期刊、专著、</w:t>
      </w:r>
      <w:r>
        <w:rPr>
          <w:rFonts w:hint="eastAsia"/>
          <w:bCs/>
          <w:sz w:val="18"/>
        </w:rPr>
        <w:t>会议论文</w:t>
      </w:r>
      <w:r>
        <w:rPr>
          <w:rFonts w:hint="eastAsia"/>
          <w:sz w:val="18"/>
        </w:rPr>
        <w:t>、</w:t>
      </w:r>
      <w:r>
        <w:rPr>
          <w:rFonts w:hint="eastAsia"/>
          <w:bCs/>
          <w:sz w:val="18"/>
        </w:rPr>
        <w:t>学位论文</w:t>
      </w:r>
      <w:r>
        <w:rPr>
          <w:rFonts w:hint="eastAsia"/>
          <w:sz w:val="18"/>
        </w:rPr>
        <w:t>、</w:t>
      </w:r>
      <w:r>
        <w:rPr>
          <w:rFonts w:hint="eastAsia"/>
          <w:bCs/>
          <w:sz w:val="18"/>
        </w:rPr>
        <w:t>专利</w:t>
      </w:r>
      <w:r>
        <w:rPr>
          <w:rFonts w:hint="eastAsia"/>
          <w:sz w:val="18"/>
        </w:rPr>
        <w:t>、</w:t>
      </w:r>
      <w:r>
        <w:rPr>
          <w:rFonts w:hint="eastAsia"/>
          <w:bCs/>
          <w:sz w:val="18"/>
        </w:rPr>
        <w:t>标准的著录格式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rPr>
          <w:rFonts w:hint="eastAsia"/>
        </w:rPr>
      </w:pPr>
      <w:r>
        <w:rPr>
          <w:rStyle w:val="7"/>
        </w:rPr>
        <w:sym w:font="Symbol" w:char="F020"/>
      </w:r>
      <w:r>
        <w:rPr>
          <w:rFonts w:hint="eastAsia" w:ascii="黑体" w:eastAsia="黑体"/>
          <w:b/>
        </w:rPr>
        <w:t>收稿日期:</w:t>
      </w:r>
      <w:r>
        <w:rPr>
          <w:rFonts w:hint="eastAsia"/>
        </w:rPr>
        <w:t>2011-01-01</w:t>
      </w:r>
    </w:p>
    <w:p>
      <w:pPr>
        <w:pStyle w:val="3"/>
        <w:rPr>
          <w:rFonts w:hint="eastAsia" w:ascii="黑体" w:eastAsia="黑体"/>
          <w:b/>
        </w:rPr>
      </w:pPr>
      <w:r>
        <w:rPr>
          <w:rFonts w:hint="eastAsia" w:ascii="黑体" w:eastAsia="黑体"/>
          <w:b/>
        </w:rPr>
        <w:t>基金项目:</w:t>
      </w:r>
      <w:r>
        <w:rPr>
          <w:rFonts w:hint="eastAsia"/>
        </w:rPr>
        <w:t>XXX资助项目(No.XXX)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C7EEB"/>
    <w:multiLevelType w:val="multilevel"/>
    <w:tmpl w:val="2B2C7EE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DA96263"/>
    <w:multiLevelType w:val="multilevel"/>
    <w:tmpl w:val="5DA96263"/>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
    <w:nsid w:val="7E3C0D95"/>
    <w:multiLevelType w:val="multilevel"/>
    <w:tmpl w:val="7E3C0D95"/>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EA00124"/>
    <w:multiLevelType w:val="multilevel"/>
    <w:tmpl w:val="7EA001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87FA1"/>
    <w:rsid w:val="4AE87FA1"/>
    <w:rsid w:val="738F22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4">
    <w:name w:val="Default Paragraph Font"/>
    <w:link w:val="5"/>
    <w:semiHidden/>
    <w:uiPriority w:val="0"/>
    <w:rPr>
      <w:rFonts w:ascii="Arial" w:hAnsi="Arial" w:eastAsia="Times New Roman" w:cs="Verdana"/>
      <w:b/>
      <w:kern w:val="0"/>
      <w:sz w:val="24"/>
      <w:szCs w:val="24"/>
      <w:lang w:eastAsia="en-US"/>
    </w:rPr>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rPr>
  </w:style>
  <w:style w:type="paragraph" w:styleId="3">
    <w:name w:val="footnote text"/>
    <w:basedOn w:val="1"/>
    <w:semiHidden/>
    <w:qFormat/>
    <w:uiPriority w:val="0"/>
    <w:pPr>
      <w:snapToGrid w:val="0"/>
      <w:jc w:val="left"/>
    </w:pPr>
    <w:rPr>
      <w:sz w:val="18"/>
      <w:szCs w:val="18"/>
    </w:rPr>
  </w:style>
  <w:style w:type="paragraph" w:customStyle="1" w:styleId="5">
    <w:name w:val=" Char"/>
    <w:basedOn w:val="1"/>
    <w:link w:val="4"/>
    <w:qFormat/>
    <w:uiPriority w:val="0"/>
    <w:pPr>
      <w:spacing w:after="160" w:line="240" w:lineRule="exact"/>
      <w:jc w:val="left"/>
    </w:pPr>
    <w:rPr>
      <w:rFonts w:ascii="Arial" w:hAnsi="Arial" w:eastAsia="Times New Roman" w:cs="Verdana"/>
      <w:b/>
      <w:kern w:val="0"/>
      <w:sz w:val="24"/>
      <w:szCs w:val="24"/>
      <w:lang w:eastAsia="en-US"/>
    </w:rPr>
  </w:style>
  <w:style w:type="character" w:styleId="6">
    <w:name w:val="page number"/>
    <w:basedOn w:val="4"/>
    <w:qFormat/>
    <w:uiPriority w:val="0"/>
  </w:style>
  <w:style w:type="character" w:styleId="7">
    <w:name w:val="footnote reference"/>
    <w:semiHidden/>
    <w:qFormat/>
    <w:uiPriority w:val="0"/>
    <w:rPr>
      <w:vertAlign w:val="superscript"/>
    </w:rPr>
  </w:style>
  <w:style w:type="paragraph" w:customStyle="1" w:styleId="9">
    <w:name w:val="英文作者名"/>
    <w:next w:val="1"/>
    <w:qFormat/>
    <w:uiPriority w:val="0"/>
    <w:pPr>
      <w:jc w:val="both"/>
    </w:pPr>
    <w:rPr>
      <w:rFonts w:ascii="Times New Roman" w:hAnsi="Times New Roman" w:eastAsia="宋体" w:cs="Times New Roman"/>
      <w:bCs/>
      <w:kern w:val="44"/>
      <w:sz w:val="21"/>
      <w:szCs w:val="44"/>
      <w:lang w:val="en-US" w:eastAsia="zh-CN" w:bidi="ar-SA"/>
    </w:rPr>
  </w:style>
  <w:style w:type="paragraph" w:customStyle="1" w:styleId="10">
    <w:name w:val="英文作者单位"/>
    <w:basedOn w:val="1"/>
    <w:qFormat/>
    <w:uiPriority w:val="0"/>
    <w:rPr>
      <w:sz w:val="18"/>
      <w:szCs w:val="22"/>
    </w:rPr>
  </w:style>
  <w:style w:type="paragraph" w:customStyle="1" w:styleId="11">
    <w:name w:val="英文摘要"/>
    <w:basedOn w:val="10"/>
    <w:qFormat/>
    <w:uiPriority w:val="0"/>
    <w:rPr>
      <w:sz w:val="21"/>
    </w:rPr>
  </w:style>
  <w:style w:type="paragraph" w:customStyle="1" w:styleId="12">
    <w:name w:val="一级标题"/>
    <w:basedOn w:val="1"/>
    <w:next w:val="1"/>
    <w:qFormat/>
    <w:uiPriority w:val="0"/>
    <w:rPr>
      <w:szCs w:val="22"/>
    </w:rPr>
  </w:style>
  <w:style w:type="paragraph" w:customStyle="1" w:styleId="13">
    <w:name w:val="二级标题"/>
    <w:basedOn w:val="1"/>
    <w:next w:val="1"/>
    <w:qFormat/>
    <w:uiPriority w:val="0"/>
    <w:rPr>
      <w:szCs w:val="22"/>
    </w:rPr>
  </w:style>
  <w:style w:type="paragraph" w:customStyle="1" w:styleId="14">
    <w:name w:val="三级标题"/>
    <w:basedOn w:val="1"/>
    <w:qFormat/>
    <w:uiPriority w:val="0"/>
    <w:rPr>
      <w:szCs w:val="22"/>
    </w:rPr>
  </w:style>
  <w:style w:type="paragraph" w:styleId="15">
    <w:name w:val="List Paragraph"/>
    <w:basedOn w:val="1"/>
    <w:qFormat/>
    <w:uiPriority w:val="34"/>
    <w:pPr>
      <w:ind w:firstLine="420" w:firstLineChars="200"/>
    </w:pPr>
    <w:rPr>
      <w:szCs w:val="22"/>
    </w:rPr>
  </w:style>
  <w:style w:type="paragraph" w:customStyle="1" w:styleId="16">
    <w:name w:val="图题"/>
    <w:basedOn w:val="1"/>
    <w:next w:val="1"/>
    <w:qFormat/>
    <w:uiPriority w:val="0"/>
    <w:pPr>
      <w:ind w:left="780"/>
      <w:jc w:val="center"/>
    </w:pPr>
    <w:rPr>
      <w:sz w:val="1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2018-07-26T01:24:00Z</dcterms:created>
  <dc:creator>syuee</dc:creator>
  <cp:lastModifiedBy>syuee</cp:lastModifiedBy>
  <dcterms:modified xsi:type="dcterms:W3CDTF">2018-07-26T01:25:35Z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